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06DA1">
      <w:pPr>
        <w:keepNext w:val="0"/>
        <w:keepLines w:val="0"/>
        <w:widowControl/>
        <w:suppressLineNumbers w:val="0"/>
        <w:jc w:val="left"/>
        <w:rPr>
          <w:rFonts w:hint="default" w:ascii="Times New Roman" w:hAnsi="Times New Roman" w:eastAsia="仿宋" w:cs="仿宋"/>
          <w:b/>
          <w:bCs/>
          <w:sz w:val="32"/>
          <w:szCs w:val="32"/>
          <w:lang w:val="en-US" w:eastAsia="zh-CN"/>
        </w:rPr>
      </w:pPr>
      <w:r>
        <w:rPr>
          <w:rFonts w:hint="eastAsia" w:ascii="Times New Roman" w:hAnsi="Times New Roman" w:eastAsia="仿宋" w:cs="仿宋"/>
          <w:b/>
          <w:bCs/>
          <w:sz w:val="32"/>
          <w:szCs w:val="32"/>
          <w:lang w:val="en-US" w:eastAsia="zh-CN"/>
        </w:rPr>
        <w:t>附件</w:t>
      </w:r>
      <w:r>
        <w:rPr>
          <w:rFonts w:hint="eastAsia" w:eastAsia="仿宋" w:cs="仿宋"/>
          <w:b/>
          <w:bCs/>
          <w:sz w:val="32"/>
          <w:szCs w:val="32"/>
          <w:lang w:val="en-US" w:eastAsia="zh-CN"/>
        </w:rPr>
        <w:t>1</w:t>
      </w:r>
    </w:p>
    <w:p w14:paraId="42B716B5">
      <w:pPr>
        <w:keepNext w:val="0"/>
        <w:keepLines w:val="0"/>
        <w:widowControl/>
        <w:suppressLineNumbers w:val="0"/>
        <w:jc w:val="center"/>
        <w:rPr>
          <w:rFonts w:hint="eastAsia" w:ascii="Times New Roman" w:hAnsi="Times New Roman" w:eastAsia="仿宋" w:cs="仿宋"/>
          <w:b/>
          <w:bCs/>
          <w:sz w:val="32"/>
          <w:szCs w:val="32"/>
          <w:lang w:val="en-US" w:eastAsia="zh-CN"/>
        </w:rPr>
      </w:pPr>
      <w:r>
        <w:rPr>
          <w:rFonts w:hint="eastAsia" w:ascii="Times New Roman" w:hAnsi="Times New Roman" w:eastAsia="仿宋" w:cs="仿宋"/>
          <w:b/>
          <w:bCs/>
          <w:sz w:val="32"/>
          <w:szCs w:val="32"/>
          <w:lang w:val="en-US" w:eastAsia="zh-CN"/>
        </w:rPr>
        <w:t>2026年度广东省社会主义学院</w:t>
      </w:r>
      <w:r>
        <w:rPr>
          <w:rFonts w:hint="eastAsia" w:eastAsia="仿宋" w:cs="仿宋"/>
          <w:b/>
          <w:bCs/>
          <w:sz w:val="32"/>
          <w:szCs w:val="32"/>
          <w:lang w:val="en-US" w:eastAsia="zh-CN"/>
        </w:rPr>
        <w:t xml:space="preserve"> </w:t>
      </w:r>
      <w:r>
        <w:rPr>
          <w:rFonts w:hint="eastAsia" w:ascii="Times New Roman" w:hAnsi="Times New Roman" w:eastAsia="仿宋" w:cs="仿宋"/>
          <w:b/>
          <w:bCs/>
          <w:sz w:val="32"/>
          <w:szCs w:val="32"/>
          <w:lang w:val="en-US" w:eastAsia="zh-CN"/>
        </w:rPr>
        <w:t>广东中华民族凝聚力研究会联合招标课题立项名单</w:t>
      </w:r>
    </w:p>
    <w:tbl>
      <w:tblPr>
        <w:tblStyle w:val="4"/>
        <w:tblpPr w:leftFromText="180" w:rightFromText="180" w:vertAnchor="text" w:horzAnchor="page" w:tblpX="1823" w:tblpY="92"/>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0"/>
        <w:gridCol w:w="2745"/>
        <w:gridCol w:w="1120"/>
        <w:gridCol w:w="1287"/>
        <w:gridCol w:w="1377"/>
      </w:tblGrid>
      <w:tr w14:paraId="313508D6">
        <w:tc>
          <w:tcPr>
            <w:tcW w:w="1167" w:type="pct"/>
            <w:noWrap w:val="0"/>
            <w:vAlign w:val="top"/>
          </w:tcPr>
          <w:p w14:paraId="44F1DF74">
            <w:pPr>
              <w:keepNext w:val="0"/>
              <w:keepLines w:val="0"/>
              <w:widowControl/>
              <w:suppressLineNumbers w:val="0"/>
              <w:jc w:val="center"/>
              <w:rPr>
                <w:rFonts w:hint="eastAsia" w:ascii="Times New Roman" w:hAnsi="Times New Roman" w:eastAsia="黑体" w:cs="黑体"/>
                <w:sz w:val="28"/>
                <w:szCs w:val="28"/>
                <w:vertAlign w:val="baseline"/>
                <w:lang w:val="en-US" w:eastAsia="zh-CN"/>
              </w:rPr>
            </w:pPr>
            <w:r>
              <w:rPr>
                <w:rFonts w:hint="eastAsia" w:ascii="Times New Roman" w:hAnsi="Times New Roman" w:eastAsia="黑体" w:cs="黑体"/>
                <w:sz w:val="28"/>
                <w:szCs w:val="28"/>
                <w:vertAlign w:val="baseline"/>
                <w:lang w:val="en-US" w:eastAsia="zh-CN"/>
              </w:rPr>
              <w:t>课题编号</w:t>
            </w:r>
          </w:p>
        </w:tc>
        <w:tc>
          <w:tcPr>
            <w:tcW w:w="1610" w:type="pct"/>
            <w:noWrap w:val="0"/>
            <w:vAlign w:val="top"/>
          </w:tcPr>
          <w:p w14:paraId="3F2F9CCC">
            <w:pPr>
              <w:keepNext w:val="0"/>
              <w:keepLines w:val="0"/>
              <w:widowControl/>
              <w:suppressLineNumbers w:val="0"/>
              <w:jc w:val="center"/>
              <w:rPr>
                <w:rFonts w:hint="eastAsia" w:ascii="Times New Roman" w:hAnsi="Times New Roman" w:eastAsia="黑体" w:cs="黑体"/>
                <w:sz w:val="28"/>
                <w:szCs w:val="28"/>
                <w:vertAlign w:val="baseline"/>
                <w:lang w:val="en-US" w:eastAsia="zh-CN"/>
              </w:rPr>
            </w:pPr>
            <w:r>
              <w:rPr>
                <w:rFonts w:hint="eastAsia" w:ascii="Times New Roman" w:hAnsi="Times New Roman" w:eastAsia="黑体" w:cs="黑体"/>
                <w:sz w:val="28"/>
                <w:szCs w:val="28"/>
                <w:vertAlign w:val="baseline"/>
                <w:lang w:val="en-US" w:eastAsia="zh-CN"/>
              </w:rPr>
              <w:t>立项课题名称</w:t>
            </w:r>
          </w:p>
        </w:tc>
        <w:tc>
          <w:tcPr>
            <w:tcW w:w="657" w:type="pct"/>
            <w:noWrap w:val="0"/>
            <w:vAlign w:val="top"/>
          </w:tcPr>
          <w:p w14:paraId="4C1DA116">
            <w:pPr>
              <w:keepNext w:val="0"/>
              <w:keepLines w:val="0"/>
              <w:widowControl/>
              <w:suppressLineNumbers w:val="0"/>
              <w:jc w:val="center"/>
              <w:rPr>
                <w:rFonts w:hint="eastAsia" w:ascii="Times New Roman" w:hAnsi="Times New Roman" w:eastAsia="黑体" w:cs="黑体"/>
                <w:sz w:val="28"/>
                <w:szCs w:val="28"/>
                <w:vertAlign w:val="baseline"/>
                <w:lang w:val="en-US" w:eastAsia="zh-CN"/>
              </w:rPr>
            </w:pPr>
            <w:r>
              <w:rPr>
                <w:rFonts w:hint="eastAsia" w:ascii="Times New Roman" w:hAnsi="Times New Roman" w:eastAsia="黑体" w:cs="黑体"/>
                <w:sz w:val="28"/>
                <w:szCs w:val="28"/>
                <w:vertAlign w:val="baseline"/>
                <w:lang w:val="en-US" w:eastAsia="zh-CN"/>
              </w:rPr>
              <w:t>负责人</w:t>
            </w:r>
          </w:p>
        </w:tc>
        <w:tc>
          <w:tcPr>
            <w:tcW w:w="755" w:type="pct"/>
            <w:noWrap w:val="0"/>
            <w:vAlign w:val="top"/>
          </w:tcPr>
          <w:p w14:paraId="7C8CCB84">
            <w:pPr>
              <w:keepNext w:val="0"/>
              <w:keepLines w:val="0"/>
              <w:widowControl/>
              <w:suppressLineNumbers w:val="0"/>
              <w:jc w:val="center"/>
              <w:rPr>
                <w:rFonts w:hint="default" w:ascii="Times New Roman" w:hAnsi="Times New Roman" w:eastAsia="黑体" w:cs="黑体"/>
                <w:sz w:val="28"/>
                <w:szCs w:val="28"/>
                <w:vertAlign w:val="baseline"/>
                <w:lang w:val="en-US" w:eastAsia="zh-CN"/>
              </w:rPr>
            </w:pPr>
            <w:r>
              <w:rPr>
                <w:rFonts w:hint="eastAsia" w:ascii="Times New Roman" w:hAnsi="Times New Roman" w:eastAsia="黑体" w:cs="黑体"/>
                <w:sz w:val="28"/>
                <w:szCs w:val="28"/>
                <w:vertAlign w:val="baseline"/>
                <w:lang w:val="en-US" w:eastAsia="zh-CN"/>
              </w:rPr>
              <w:t>单位</w:t>
            </w:r>
          </w:p>
        </w:tc>
        <w:tc>
          <w:tcPr>
            <w:tcW w:w="808" w:type="pct"/>
            <w:noWrap w:val="0"/>
            <w:vAlign w:val="top"/>
          </w:tcPr>
          <w:p w14:paraId="5E9C17D1">
            <w:pPr>
              <w:keepNext w:val="0"/>
              <w:keepLines w:val="0"/>
              <w:widowControl/>
              <w:suppressLineNumbers w:val="0"/>
              <w:jc w:val="center"/>
              <w:rPr>
                <w:rFonts w:hint="default" w:ascii="Times New Roman" w:hAnsi="Times New Roman" w:eastAsia="黑体" w:cs="黑体"/>
                <w:sz w:val="28"/>
                <w:szCs w:val="28"/>
                <w:vertAlign w:val="baseline"/>
                <w:lang w:val="en-US" w:eastAsia="zh-CN"/>
              </w:rPr>
            </w:pPr>
            <w:r>
              <w:rPr>
                <w:rFonts w:hint="eastAsia" w:ascii="Times New Roman" w:hAnsi="Times New Roman" w:eastAsia="黑体" w:cs="黑体"/>
                <w:sz w:val="28"/>
                <w:szCs w:val="28"/>
                <w:vertAlign w:val="baseline"/>
                <w:lang w:val="en-US" w:eastAsia="zh-CN"/>
              </w:rPr>
              <w:t>课题类别</w:t>
            </w:r>
          </w:p>
        </w:tc>
      </w:tr>
      <w:tr w14:paraId="2859AF7B">
        <w:trPr>
          <w:trHeight w:val="376" w:hRule="atLeast"/>
        </w:trPr>
        <w:tc>
          <w:tcPr>
            <w:tcW w:w="1167" w:type="pct"/>
            <w:noWrap w:val="0"/>
            <w:vAlign w:val="center"/>
          </w:tcPr>
          <w:p w14:paraId="54B1C54F">
            <w:pPr>
              <w:keepNext w:val="0"/>
              <w:keepLines w:val="0"/>
              <w:widowControl/>
              <w:suppressLineNumbers w:val="0"/>
              <w:jc w:val="center"/>
              <w:rPr>
                <w:rFonts w:hint="default" w:ascii="Times New Roman" w:hAnsi="Times New Roman" w:eastAsia="仿宋" w:cs="仿宋"/>
                <w:sz w:val="24"/>
                <w:szCs w:val="24"/>
                <w:vertAlign w:val="baseline"/>
                <w:lang w:val="en-US" w:eastAsia="zh-CN"/>
              </w:rPr>
            </w:pPr>
            <w:r>
              <w:rPr>
                <w:rFonts w:hint="eastAsia" w:ascii="Times New Roman" w:hAnsi="Times New Roman" w:eastAsia="仿宋" w:cs="仿宋"/>
                <w:b w:val="0"/>
                <w:bCs w:val="0"/>
                <w:sz w:val="21"/>
                <w:szCs w:val="21"/>
                <w:vertAlign w:val="baseline"/>
                <w:lang w:val="en-US" w:eastAsia="zh-CN"/>
              </w:rPr>
              <w:t>2026-GDSY-NJL-01</w:t>
            </w:r>
          </w:p>
        </w:tc>
        <w:tc>
          <w:tcPr>
            <w:tcW w:w="1610" w:type="pct"/>
            <w:noWrap w:val="0"/>
            <w:vAlign w:val="top"/>
          </w:tcPr>
          <w:p w14:paraId="698BE6EE">
            <w:pPr>
              <w:keepNext w:val="0"/>
              <w:keepLines w:val="0"/>
              <w:widowControl/>
              <w:suppressLineNumbers w:val="0"/>
              <w:jc w:val="center"/>
              <w:rPr>
                <w:rFonts w:hint="eastAsia"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大流动与跨制度：铸牢中华民族共同体意识的广东三重场域实践研究与经验提炼</w:t>
            </w:r>
          </w:p>
        </w:tc>
        <w:tc>
          <w:tcPr>
            <w:tcW w:w="657" w:type="pct"/>
            <w:noWrap w:val="0"/>
            <w:vAlign w:val="center"/>
          </w:tcPr>
          <w:p w14:paraId="6F49932F">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张</w:t>
            </w:r>
            <w:r>
              <w:rPr>
                <w:rFonts w:hint="eastAsia" w:ascii="Times New Roman" w:hAnsi="Times New Roman" w:eastAsia="仿宋" w:cs="仿宋"/>
                <w:sz w:val="21"/>
                <w:szCs w:val="21"/>
                <w:lang w:val="en-US" w:eastAsia="zh-CN"/>
              </w:rPr>
              <w:t xml:space="preserve">  </w:t>
            </w:r>
            <w:r>
              <w:rPr>
                <w:rFonts w:hint="eastAsia" w:ascii="Times New Roman" w:hAnsi="Times New Roman" w:eastAsia="仿宋" w:cs="仿宋"/>
                <w:sz w:val="21"/>
                <w:szCs w:val="21"/>
              </w:rPr>
              <w:t>颖</w:t>
            </w:r>
          </w:p>
        </w:tc>
        <w:tc>
          <w:tcPr>
            <w:tcW w:w="755" w:type="pct"/>
            <w:noWrap w:val="0"/>
            <w:vAlign w:val="center"/>
          </w:tcPr>
          <w:p w14:paraId="55D44601">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广州社院</w:t>
            </w:r>
          </w:p>
        </w:tc>
        <w:tc>
          <w:tcPr>
            <w:tcW w:w="808" w:type="pct"/>
            <w:noWrap w:val="0"/>
            <w:vAlign w:val="center"/>
          </w:tcPr>
          <w:p w14:paraId="34DC30B7">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一般课题</w:t>
            </w:r>
          </w:p>
        </w:tc>
      </w:tr>
      <w:tr w14:paraId="6EBEDCD7">
        <w:tc>
          <w:tcPr>
            <w:tcW w:w="1167" w:type="pct"/>
            <w:noWrap w:val="0"/>
            <w:vAlign w:val="center"/>
          </w:tcPr>
          <w:p w14:paraId="1160C91E">
            <w:pPr>
              <w:keepNext w:val="0"/>
              <w:keepLines w:val="0"/>
              <w:widowControl/>
              <w:suppressLineNumbers w:val="0"/>
              <w:jc w:val="center"/>
              <w:rPr>
                <w:rFonts w:hint="default" w:ascii="Times New Roman" w:hAnsi="Times New Roman" w:eastAsia="仿宋" w:cs="仿宋"/>
                <w:b w:val="0"/>
                <w:bCs w:val="0"/>
                <w:sz w:val="21"/>
                <w:szCs w:val="21"/>
                <w:vertAlign w:val="baseline"/>
                <w:lang w:val="en-US" w:eastAsia="zh-CN"/>
              </w:rPr>
            </w:pPr>
            <w:r>
              <w:rPr>
                <w:rFonts w:hint="eastAsia" w:ascii="Times New Roman" w:hAnsi="Times New Roman" w:eastAsia="仿宋" w:cs="仿宋"/>
                <w:b w:val="0"/>
                <w:bCs w:val="0"/>
                <w:sz w:val="21"/>
                <w:szCs w:val="21"/>
                <w:vertAlign w:val="baseline"/>
                <w:lang w:val="en-US" w:eastAsia="zh-CN"/>
              </w:rPr>
              <w:t>2026-GDSY-NJL-02</w:t>
            </w:r>
          </w:p>
        </w:tc>
        <w:tc>
          <w:tcPr>
            <w:tcW w:w="1610" w:type="pct"/>
            <w:noWrap w:val="0"/>
            <w:vAlign w:val="top"/>
          </w:tcPr>
          <w:p w14:paraId="653BB5CB">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default" w:ascii="Times New Roman" w:hAnsi="Times New Roman" w:eastAsia="仿宋" w:cs="仿宋"/>
                <w:sz w:val="21"/>
                <w:szCs w:val="21"/>
                <w:vertAlign w:val="baseline"/>
                <w:lang w:val="en-US" w:eastAsia="zh-CN"/>
              </w:rPr>
              <w:t>中国式现代化</w:t>
            </w:r>
            <w:r>
              <w:rPr>
                <w:rFonts w:hint="eastAsia" w:eastAsia="仿宋" w:cs="仿宋"/>
                <w:sz w:val="21"/>
                <w:szCs w:val="21"/>
                <w:vertAlign w:val="baseline"/>
                <w:lang w:val="en-US" w:eastAsia="zh-CN"/>
              </w:rPr>
              <w:t>与</w:t>
            </w:r>
            <w:r>
              <w:rPr>
                <w:rFonts w:hint="default" w:ascii="Times New Roman" w:hAnsi="Times New Roman" w:eastAsia="仿宋" w:cs="仿宋"/>
                <w:sz w:val="21"/>
                <w:szCs w:val="21"/>
                <w:vertAlign w:val="baseline"/>
                <w:lang w:val="en-US" w:eastAsia="zh-CN"/>
              </w:rPr>
              <w:t>中华民族共同体建设研究——以发展全过程人民民主为视角</w:t>
            </w:r>
          </w:p>
        </w:tc>
        <w:tc>
          <w:tcPr>
            <w:tcW w:w="657" w:type="pct"/>
            <w:noWrap w:val="0"/>
            <w:vAlign w:val="center"/>
          </w:tcPr>
          <w:p w14:paraId="2BEC4333">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布晓青</w:t>
            </w:r>
          </w:p>
        </w:tc>
        <w:tc>
          <w:tcPr>
            <w:tcW w:w="755" w:type="pct"/>
            <w:noWrap w:val="0"/>
            <w:vAlign w:val="center"/>
          </w:tcPr>
          <w:p w14:paraId="270EFDBC">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汕尾社院</w:t>
            </w:r>
          </w:p>
        </w:tc>
        <w:tc>
          <w:tcPr>
            <w:tcW w:w="808" w:type="pct"/>
            <w:noWrap w:val="0"/>
            <w:vAlign w:val="center"/>
          </w:tcPr>
          <w:p w14:paraId="4548E9B3">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一般课题</w:t>
            </w:r>
          </w:p>
        </w:tc>
      </w:tr>
      <w:tr w14:paraId="6D567C5F">
        <w:trPr>
          <w:trHeight w:val="340" w:hRule="atLeast"/>
        </w:trPr>
        <w:tc>
          <w:tcPr>
            <w:tcW w:w="1167" w:type="pct"/>
            <w:noWrap w:val="0"/>
            <w:vAlign w:val="center"/>
          </w:tcPr>
          <w:p w14:paraId="761EC397">
            <w:pPr>
              <w:keepNext w:val="0"/>
              <w:keepLines w:val="0"/>
              <w:widowControl/>
              <w:suppressLineNumbers w:val="0"/>
              <w:jc w:val="center"/>
              <w:rPr>
                <w:rFonts w:hint="default" w:ascii="Times New Roman" w:hAnsi="Times New Roman" w:eastAsia="仿宋" w:cs="仿宋"/>
                <w:b w:val="0"/>
                <w:bCs w:val="0"/>
                <w:sz w:val="21"/>
                <w:szCs w:val="21"/>
                <w:vertAlign w:val="baseline"/>
                <w:lang w:val="en-US" w:eastAsia="zh-CN"/>
              </w:rPr>
            </w:pPr>
            <w:r>
              <w:rPr>
                <w:rFonts w:hint="eastAsia" w:ascii="Times New Roman" w:hAnsi="Times New Roman" w:eastAsia="仿宋" w:cs="仿宋"/>
                <w:b w:val="0"/>
                <w:bCs w:val="0"/>
                <w:sz w:val="21"/>
                <w:szCs w:val="21"/>
                <w:vertAlign w:val="baseline"/>
                <w:lang w:val="en-US" w:eastAsia="zh-CN"/>
              </w:rPr>
              <w:t>2026-GDSY-NJL-03</w:t>
            </w:r>
          </w:p>
        </w:tc>
        <w:tc>
          <w:tcPr>
            <w:tcW w:w="1610" w:type="pct"/>
            <w:noWrap w:val="0"/>
            <w:vAlign w:val="top"/>
          </w:tcPr>
          <w:p w14:paraId="6B3D1770">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抗战侨批蕴含的增强海外同胞和民族向心力的精神内核研究</w:t>
            </w:r>
          </w:p>
        </w:tc>
        <w:tc>
          <w:tcPr>
            <w:tcW w:w="657" w:type="pct"/>
            <w:noWrap w:val="0"/>
            <w:vAlign w:val="center"/>
          </w:tcPr>
          <w:p w14:paraId="21A8FB91">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仿宋" w:cs="仿宋"/>
                <w:sz w:val="21"/>
                <w:szCs w:val="21"/>
              </w:rPr>
              <w:t>陈驰欣</w:t>
            </w:r>
          </w:p>
        </w:tc>
        <w:tc>
          <w:tcPr>
            <w:tcW w:w="755" w:type="pct"/>
            <w:noWrap w:val="0"/>
            <w:vAlign w:val="center"/>
          </w:tcPr>
          <w:p w14:paraId="65D297BB">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潮州社院</w:t>
            </w:r>
          </w:p>
        </w:tc>
        <w:tc>
          <w:tcPr>
            <w:tcW w:w="808" w:type="pct"/>
            <w:noWrap w:val="0"/>
            <w:vAlign w:val="center"/>
          </w:tcPr>
          <w:p w14:paraId="4DD54748">
            <w:pPr>
              <w:keepNext w:val="0"/>
              <w:keepLines w:val="0"/>
              <w:widowControl/>
              <w:suppressLineNumbers w:val="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仿宋" w:cs="仿宋"/>
                <w:sz w:val="21"/>
                <w:szCs w:val="21"/>
                <w:vertAlign w:val="baseline"/>
                <w:lang w:val="en-US" w:eastAsia="zh-CN"/>
              </w:rPr>
              <w:t>一般课题</w:t>
            </w:r>
          </w:p>
        </w:tc>
      </w:tr>
      <w:tr w14:paraId="338CD80D">
        <w:tc>
          <w:tcPr>
            <w:tcW w:w="1167" w:type="pct"/>
            <w:noWrap w:val="0"/>
            <w:vAlign w:val="center"/>
          </w:tcPr>
          <w:p w14:paraId="63670C11">
            <w:pPr>
              <w:keepNext w:val="0"/>
              <w:keepLines w:val="0"/>
              <w:widowControl/>
              <w:suppressLineNumbers w:val="0"/>
              <w:jc w:val="center"/>
              <w:rPr>
                <w:rFonts w:hint="default" w:ascii="Times New Roman" w:hAnsi="Times New Roman" w:eastAsia="仿宋" w:cs="仿宋"/>
                <w:b w:val="0"/>
                <w:bCs w:val="0"/>
                <w:sz w:val="21"/>
                <w:szCs w:val="21"/>
                <w:vertAlign w:val="baseline"/>
                <w:lang w:val="en-US" w:eastAsia="zh-CN"/>
              </w:rPr>
            </w:pPr>
            <w:r>
              <w:rPr>
                <w:rFonts w:hint="eastAsia" w:ascii="Times New Roman" w:hAnsi="Times New Roman" w:eastAsia="仿宋" w:cs="仿宋"/>
                <w:b w:val="0"/>
                <w:bCs w:val="0"/>
                <w:sz w:val="21"/>
                <w:szCs w:val="21"/>
                <w:vertAlign w:val="baseline"/>
                <w:lang w:val="en-US" w:eastAsia="zh-CN"/>
              </w:rPr>
              <w:t>2026-GDSY-NJL-04</w:t>
            </w:r>
          </w:p>
        </w:tc>
        <w:tc>
          <w:tcPr>
            <w:tcW w:w="1610" w:type="pct"/>
            <w:noWrap w:val="0"/>
            <w:vAlign w:val="top"/>
          </w:tcPr>
          <w:p w14:paraId="64A3D2AA">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念祖爱乡：以乡愁文化铸牢中华民族共同体意识的广东实践研究</w:t>
            </w:r>
          </w:p>
        </w:tc>
        <w:tc>
          <w:tcPr>
            <w:tcW w:w="657" w:type="pct"/>
            <w:noWrap w:val="0"/>
            <w:vAlign w:val="center"/>
          </w:tcPr>
          <w:p w14:paraId="6AE93E6A">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卢观铤</w:t>
            </w:r>
          </w:p>
        </w:tc>
        <w:tc>
          <w:tcPr>
            <w:tcW w:w="755" w:type="pct"/>
            <w:noWrap w:val="0"/>
            <w:vAlign w:val="center"/>
          </w:tcPr>
          <w:p w14:paraId="4B2673BF">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云浮社院</w:t>
            </w:r>
          </w:p>
        </w:tc>
        <w:tc>
          <w:tcPr>
            <w:tcW w:w="808" w:type="pct"/>
            <w:noWrap w:val="0"/>
            <w:vAlign w:val="center"/>
          </w:tcPr>
          <w:p w14:paraId="7DE3B23D">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一般课题</w:t>
            </w:r>
          </w:p>
        </w:tc>
      </w:tr>
      <w:tr w14:paraId="1E8B1B67">
        <w:tc>
          <w:tcPr>
            <w:tcW w:w="1167" w:type="pct"/>
            <w:noWrap w:val="0"/>
            <w:vAlign w:val="center"/>
          </w:tcPr>
          <w:p w14:paraId="7D8EB35E">
            <w:pPr>
              <w:keepNext w:val="0"/>
              <w:keepLines w:val="0"/>
              <w:widowControl/>
              <w:suppressLineNumbers w:val="0"/>
              <w:jc w:val="center"/>
              <w:rPr>
                <w:rFonts w:hint="default" w:ascii="Times New Roman" w:hAnsi="Times New Roman" w:eastAsia="仿宋" w:cs="仿宋"/>
                <w:b w:val="0"/>
                <w:bCs w:val="0"/>
                <w:sz w:val="21"/>
                <w:szCs w:val="21"/>
                <w:vertAlign w:val="baseline"/>
                <w:lang w:val="en-US" w:eastAsia="zh-CN"/>
              </w:rPr>
            </w:pPr>
            <w:r>
              <w:rPr>
                <w:rFonts w:hint="eastAsia" w:ascii="Times New Roman" w:hAnsi="Times New Roman" w:eastAsia="仿宋" w:cs="仿宋"/>
                <w:b w:val="0"/>
                <w:bCs w:val="0"/>
                <w:sz w:val="21"/>
                <w:szCs w:val="21"/>
                <w:vertAlign w:val="baseline"/>
                <w:lang w:val="en-US" w:eastAsia="zh-CN"/>
              </w:rPr>
              <w:t>2026-GDSY-NJL-05</w:t>
            </w:r>
          </w:p>
        </w:tc>
        <w:tc>
          <w:tcPr>
            <w:tcW w:w="1610" w:type="pct"/>
            <w:noWrap w:val="0"/>
            <w:vAlign w:val="top"/>
          </w:tcPr>
          <w:p w14:paraId="49FCE0CE">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习近平总书记关于增强中华民族凝聚力重要论述研究</w:t>
            </w:r>
          </w:p>
        </w:tc>
        <w:tc>
          <w:tcPr>
            <w:tcW w:w="657" w:type="pct"/>
            <w:noWrap w:val="0"/>
            <w:vAlign w:val="center"/>
          </w:tcPr>
          <w:p w14:paraId="62BEF443">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张玉美</w:t>
            </w:r>
          </w:p>
        </w:tc>
        <w:tc>
          <w:tcPr>
            <w:tcW w:w="755" w:type="pct"/>
            <w:noWrap w:val="0"/>
            <w:vAlign w:val="center"/>
          </w:tcPr>
          <w:p w14:paraId="687235E5">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江门社院</w:t>
            </w:r>
          </w:p>
        </w:tc>
        <w:tc>
          <w:tcPr>
            <w:tcW w:w="808" w:type="pct"/>
            <w:noWrap w:val="0"/>
            <w:vAlign w:val="center"/>
          </w:tcPr>
          <w:p w14:paraId="2030C3D5">
            <w:pPr>
              <w:keepNext w:val="0"/>
              <w:keepLines w:val="0"/>
              <w:widowControl/>
              <w:suppressLineNumbers w:val="0"/>
              <w:jc w:val="center"/>
              <w:rPr>
                <w:rFonts w:hint="eastAsia"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一般课题</w:t>
            </w:r>
          </w:p>
        </w:tc>
      </w:tr>
      <w:tr w14:paraId="0A8D56CD">
        <w:tc>
          <w:tcPr>
            <w:tcW w:w="1167" w:type="pct"/>
            <w:noWrap w:val="0"/>
            <w:vAlign w:val="center"/>
          </w:tcPr>
          <w:p w14:paraId="372DD366">
            <w:pPr>
              <w:keepNext w:val="0"/>
              <w:keepLines w:val="0"/>
              <w:widowControl/>
              <w:suppressLineNumbers w:val="0"/>
              <w:jc w:val="center"/>
              <w:rPr>
                <w:rFonts w:hint="default" w:ascii="Times New Roman" w:hAnsi="Times New Roman" w:eastAsia="仿宋" w:cs="仿宋"/>
                <w:b w:val="0"/>
                <w:bCs w:val="0"/>
                <w:sz w:val="21"/>
                <w:szCs w:val="21"/>
                <w:vertAlign w:val="baseline"/>
                <w:lang w:val="en-US" w:eastAsia="zh-CN"/>
              </w:rPr>
            </w:pPr>
            <w:r>
              <w:rPr>
                <w:rFonts w:hint="eastAsia" w:ascii="Times New Roman" w:hAnsi="Times New Roman" w:eastAsia="仿宋" w:cs="仿宋"/>
                <w:b w:val="0"/>
                <w:bCs w:val="0"/>
                <w:sz w:val="21"/>
                <w:szCs w:val="21"/>
                <w:vertAlign w:val="baseline"/>
                <w:lang w:val="en-US" w:eastAsia="zh-CN"/>
              </w:rPr>
              <w:t>2026-GDSY-NJL-06</w:t>
            </w:r>
          </w:p>
        </w:tc>
        <w:tc>
          <w:tcPr>
            <w:tcW w:w="1610" w:type="pct"/>
            <w:noWrap w:val="0"/>
            <w:vAlign w:val="top"/>
          </w:tcPr>
          <w:p w14:paraId="20A9F400">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新时代网络统战增强中华民族凝聚力的内在机理与实现路径研究</w:t>
            </w:r>
          </w:p>
        </w:tc>
        <w:tc>
          <w:tcPr>
            <w:tcW w:w="657" w:type="pct"/>
            <w:noWrap w:val="0"/>
            <w:vAlign w:val="center"/>
          </w:tcPr>
          <w:p w14:paraId="5E7673F2">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王雅玲</w:t>
            </w:r>
          </w:p>
        </w:tc>
        <w:tc>
          <w:tcPr>
            <w:tcW w:w="755" w:type="pct"/>
            <w:noWrap w:val="0"/>
            <w:vAlign w:val="center"/>
          </w:tcPr>
          <w:p w14:paraId="7AF24674">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佛山社院</w:t>
            </w:r>
          </w:p>
        </w:tc>
        <w:tc>
          <w:tcPr>
            <w:tcW w:w="808" w:type="pct"/>
            <w:noWrap w:val="0"/>
            <w:vAlign w:val="center"/>
          </w:tcPr>
          <w:p w14:paraId="54232C75">
            <w:pPr>
              <w:keepNext w:val="0"/>
              <w:keepLines w:val="0"/>
              <w:widowControl/>
              <w:suppressLineNumbers w:val="0"/>
              <w:jc w:val="center"/>
              <w:rPr>
                <w:rFonts w:hint="eastAsia"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一般课题</w:t>
            </w:r>
          </w:p>
        </w:tc>
      </w:tr>
      <w:tr w14:paraId="08E8F143">
        <w:tc>
          <w:tcPr>
            <w:tcW w:w="1167" w:type="pct"/>
            <w:noWrap w:val="0"/>
            <w:vAlign w:val="center"/>
          </w:tcPr>
          <w:p w14:paraId="3EEB8804">
            <w:pPr>
              <w:keepNext w:val="0"/>
              <w:keepLines w:val="0"/>
              <w:widowControl/>
              <w:suppressLineNumbers w:val="0"/>
              <w:jc w:val="center"/>
              <w:rPr>
                <w:rFonts w:hint="default" w:ascii="Times New Roman" w:hAnsi="Times New Roman" w:eastAsia="仿宋" w:cs="仿宋"/>
                <w:b w:val="0"/>
                <w:bCs w:val="0"/>
                <w:sz w:val="21"/>
                <w:szCs w:val="21"/>
                <w:vertAlign w:val="baseline"/>
                <w:lang w:val="en-US" w:eastAsia="zh-CN"/>
              </w:rPr>
            </w:pPr>
            <w:r>
              <w:rPr>
                <w:rFonts w:hint="eastAsia" w:ascii="Times New Roman" w:hAnsi="Times New Roman" w:eastAsia="仿宋" w:cs="仿宋"/>
                <w:b w:val="0"/>
                <w:bCs w:val="0"/>
                <w:sz w:val="21"/>
                <w:szCs w:val="21"/>
                <w:vertAlign w:val="baseline"/>
                <w:lang w:val="en-US" w:eastAsia="zh-CN"/>
              </w:rPr>
              <w:t>2026-GDSY-NJL-07</w:t>
            </w:r>
          </w:p>
        </w:tc>
        <w:tc>
          <w:tcPr>
            <w:tcW w:w="1610" w:type="pct"/>
            <w:noWrap w:val="0"/>
            <w:vAlign w:val="top"/>
          </w:tcPr>
          <w:p w14:paraId="0DA20751">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大湾区常住地提供教育基本公共服务改革与铸牢中华民族共同体意识研究</w:t>
            </w:r>
          </w:p>
        </w:tc>
        <w:tc>
          <w:tcPr>
            <w:tcW w:w="657" w:type="pct"/>
            <w:noWrap w:val="0"/>
            <w:vAlign w:val="center"/>
          </w:tcPr>
          <w:p w14:paraId="6D555E39">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彭辉安</w:t>
            </w:r>
          </w:p>
        </w:tc>
        <w:tc>
          <w:tcPr>
            <w:tcW w:w="755" w:type="pct"/>
            <w:noWrap w:val="0"/>
            <w:vAlign w:val="center"/>
          </w:tcPr>
          <w:p w14:paraId="3C9FED5E">
            <w:pPr>
              <w:keepNext w:val="0"/>
              <w:keepLines w:val="0"/>
              <w:widowControl/>
              <w:suppressLineNumbers w:val="0"/>
              <w:jc w:val="center"/>
              <w:rPr>
                <w:rFonts w:hint="eastAsia" w:ascii="Times New Roman" w:hAnsi="Times New Roman" w:eastAsia="宋体" w:cs="仿宋"/>
                <w:sz w:val="21"/>
                <w:szCs w:val="21"/>
                <w:vertAlign w:val="baseline"/>
                <w:lang w:val="en-US" w:eastAsia="zh-CN"/>
              </w:rPr>
            </w:pPr>
            <w:r>
              <w:rPr>
                <w:rFonts w:hint="eastAsia" w:ascii="Times New Roman" w:hAnsi="Times New Roman" w:eastAsia="仿宋" w:cs="仿宋"/>
                <w:sz w:val="21"/>
                <w:szCs w:val="21"/>
              </w:rPr>
              <w:t>肇庆</w:t>
            </w:r>
            <w:r>
              <w:rPr>
                <w:rFonts w:hint="eastAsia" w:ascii="Times New Roman" w:hAnsi="Times New Roman" w:eastAsia="仿宋" w:cs="仿宋"/>
                <w:sz w:val="21"/>
                <w:szCs w:val="21"/>
                <w:lang w:val="en-US" w:eastAsia="zh-CN"/>
              </w:rPr>
              <w:t>社院</w:t>
            </w:r>
          </w:p>
        </w:tc>
        <w:tc>
          <w:tcPr>
            <w:tcW w:w="808" w:type="pct"/>
            <w:noWrap w:val="0"/>
            <w:vAlign w:val="center"/>
          </w:tcPr>
          <w:p w14:paraId="3A27751F">
            <w:pPr>
              <w:keepNext w:val="0"/>
              <w:keepLines w:val="0"/>
              <w:widowControl/>
              <w:suppressLineNumbers w:val="0"/>
              <w:jc w:val="center"/>
              <w:rPr>
                <w:rFonts w:hint="eastAsia"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一般课题</w:t>
            </w:r>
          </w:p>
        </w:tc>
      </w:tr>
      <w:tr w14:paraId="345D8AD9">
        <w:tc>
          <w:tcPr>
            <w:tcW w:w="1167" w:type="pct"/>
            <w:noWrap w:val="0"/>
            <w:vAlign w:val="center"/>
          </w:tcPr>
          <w:p w14:paraId="6E76C462">
            <w:pPr>
              <w:keepNext w:val="0"/>
              <w:keepLines w:val="0"/>
              <w:widowControl/>
              <w:suppressLineNumbers w:val="0"/>
              <w:jc w:val="center"/>
              <w:rPr>
                <w:rFonts w:hint="default" w:ascii="Times New Roman" w:hAnsi="Times New Roman" w:eastAsia="仿宋" w:cs="仿宋"/>
                <w:b w:val="0"/>
                <w:bCs w:val="0"/>
                <w:sz w:val="21"/>
                <w:szCs w:val="21"/>
                <w:vertAlign w:val="baseline"/>
                <w:lang w:val="en-US" w:eastAsia="zh-CN"/>
              </w:rPr>
            </w:pPr>
            <w:r>
              <w:rPr>
                <w:rFonts w:hint="eastAsia" w:ascii="Times New Roman" w:hAnsi="Times New Roman" w:eastAsia="仿宋" w:cs="仿宋"/>
                <w:b w:val="0"/>
                <w:bCs w:val="0"/>
                <w:sz w:val="21"/>
                <w:szCs w:val="21"/>
                <w:vertAlign w:val="baseline"/>
                <w:lang w:val="en-US" w:eastAsia="zh-CN"/>
              </w:rPr>
              <w:t>2026-GDSY-NJL-08</w:t>
            </w:r>
          </w:p>
        </w:tc>
        <w:tc>
          <w:tcPr>
            <w:tcW w:w="1610" w:type="pct"/>
            <w:noWrap w:val="0"/>
            <w:vAlign w:val="top"/>
          </w:tcPr>
          <w:p w14:paraId="6A312D5D">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乡村都市化、流动人口与城市互嵌共融社区建设</w:t>
            </w:r>
          </w:p>
        </w:tc>
        <w:tc>
          <w:tcPr>
            <w:tcW w:w="657" w:type="pct"/>
            <w:noWrap w:val="0"/>
            <w:vAlign w:val="center"/>
          </w:tcPr>
          <w:p w14:paraId="241AB4B1">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王国峰</w:t>
            </w:r>
          </w:p>
        </w:tc>
        <w:tc>
          <w:tcPr>
            <w:tcW w:w="755" w:type="pct"/>
            <w:noWrap w:val="0"/>
            <w:vAlign w:val="center"/>
          </w:tcPr>
          <w:p w14:paraId="7EAABDF2">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珠海社院</w:t>
            </w:r>
          </w:p>
        </w:tc>
        <w:tc>
          <w:tcPr>
            <w:tcW w:w="808" w:type="pct"/>
            <w:noWrap w:val="0"/>
            <w:vAlign w:val="center"/>
          </w:tcPr>
          <w:p w14:paraId="774FDF92">
            <w:pPr>
              <w:keepNext w:val="0"/>
              <w:keepLines w:val="0"/>
              <w:widowControl/>
              <w:suppressLineNumbers w:val="0"/>
              <w:jc w:val="center"/>
              <w:rPr>
                <w:rFonts w:hint="eastAsia"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一般课题</w:t>
            </w:r>
          </w:p>
        </w:tc>
      </w:tr>
      <w:tr w14:paraId="2E403F11">
        <w:tc>
          <w:tcPr>
            <w:tcW w:w="1167" w:type="pct"/>
            <w:noWrap w:val="0"/>
            <w:vAlign w:val="center"/>
          </w:tcPr>
          <w:p w14:paraId="61811EDE">
            <w:pPr>
              <w:keepNext w:val="0"/>
              <w:keepLines w:val="0"/>
              <w:widowControl/>
              <w:suppressLineNumbers w:val="0"/>
              <w:jc w:val="center"/>
              <w:rPr>
                <w:rFonts w:hint="default" w:ascii="Times New Roman" w:hAnsi="Times New Roman" w:eastAsia="仿宋" w:cs="仿宋"/>
                <w:b w:val="0"/>
                <w:bCs w:val="0"/>
                <w:sz w:val="21"/>
                <w:szCs w:val="21"/>
                <w:vertAlign w:val="baseline"/>
                <w:lang w:val="en-US" w:eastAsia="zh-CN"/>
              </w:rPr>
            </w:pPr>
            <w:r>
              <w:rPr>
                <w:rFonts w:hint="eastAsia" w:ascii="Times New Roman" w:hAnsi="Times New Roman" w:eastAsia="仿宋" w:cs="仿宋"/>
                <w:b w:val="0"/>
                <w:bCs w:val="0"/>
                <w:sz w:val="21"/>
                <w:szCs w:val="21"/>
                <w:vertAlign w:val="baseline"/>
                <w:lang w:val="en-US" w:eastAsia="zh-CN"/>
              </w:rPr>
              <w:t>2026-GDSY-NJL-09</w:t>
            </w:r>
          </w:p>
        </w:tc>
        <w:tc>
          <w:tcPr>
            <w:tcW w:w="1610" w:type="pct"/>
            <w:noWrap w:val="0"/>
            <w:vAlign w:val="top"/>
          </w:tcPr>
          <w:p w14:paraId="0D072CEF">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简牍所见秦汉岭南社会治理与中华文明“多元一体”格局的形成研究</w:t>
            </w:r>
          </w:p>
        </w:tc>
        <w:tc>
          <w:tcPr>
            <w:tcW w:w="657" w:type="pct"/>
            <w:noWrap w:val="0"/>
            <w:vAlign w:val="center"/>
          </w:tcPr>
          <w:p w14:paraId="78629FF8">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文</w:t>
            </w:r>
            <w:r>
              <w:rPr>
                <w:rFonts w:hint="eastAsia" w:ascii="Times New Roman" w:hAnsi="Times New Roman" w:eastAsia="仿宋" w:cs="仿宋"/>
                <w:sz w:val="21"/>
                <w:szCs w:val="21"/>
                <w:lang w:val="en-US" w:eastAsia="zh-CN"/>
              </w:rPr>
              <w:t xml:space="preserve">  </w:t>
            </w:r>
            <w:r>
              <w:rPr>
                <w:rFonts w:hint="eastAsia" w:ascii="Times New Roman" w:hAnsi="Times New Roman" w:eastAsia="仿宋" w:cs="仿宋"/>
                <w:sz w:val="21"/>
                <w:szCs w:val="21"/>
              </w:rPr>
              <w:t>霞</w:t>
            </w:r>
          </w:p>
        </w:tc>
        <w:tc>
          <w:tcPr>
            <w:tcW w:w="755" w:type="pct"/>
            <w:noWrap w:val="0"/>
            <w:vAlign w:val="center"/>
          </w:tcPr>
          <w:p w14:paraId="289AF34C">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广东第二师范学院</w:t>
            </w:r>
          </w:p>
        </w:tc>
        <w:tc>
          <w:tcPr>
            <w:tcW w:w="808" w:type="pct"/>
            <w:noWrap w:val="0"/>
            <w:vAlign w:val="center"/>
          </w:tcPr>
          <w:p w14:paraId="6499DA31">
            <w:pPr>
              <w:keepNext w:val="0"/>
              <w:keepLines w:val="0"/>
              <w:widowControl/>
              <w:suppressLineNumbers w:val="0"/>
              <w:jc w:val="center"/>
              <w:rPr>
                <w:rFonts w:hint="eastAsia"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一般课题</w:t>
            </w:r>
          </w:p>
        </w:tc>
      </w:tr>
      <w:tr w14:paraId="260A654A">
        <w:tc>
          <w:tcPr>
            <w:tcW w:w="1167" w:type="pct"/>
            <w:noWrap w:val="0"/>
            <w:vAlign w:val="center"/>
          </w:tcPr>
          <w:p w14:paraId="35F16E47">
            <w:pPr>
              <w:keepNext w:val="0"/>
              <w:keepLines w:val="0"/>
              <w:widowControl/>
              <w:suppressLineNumbers w:val="0"/>
              <w:jc w:val="center"/>
              <w:rPr>
                <w:rFonts w:hint="default" w:ascii="Times New Roman" w:hAnsi="Times New Roman" w:eastAsia="仿宋" w:cs="仿宋"/>
                <w:b w:val="0"/>
                <w:bCs w:val="0"/>
                <w:sz w:val="21"/>
                <w:szCs w:val="21"/>
                <w:vertAlign w:val="baseline"/>
                <w:lang w:val="en-US" w:eastAsia="zh-CN"/>
              </w:rPr>
            </w:pPr>
            <w:r>
              <w:rPr>
                <w:rFonts w:hint="eastAsia" w:ascii="Times New Roman" w:hAnsi="Times New Roman" w:eastAsia="仿宋" w:cs="仿宋"/>
                <w:b w:val="0"/>
                <w:bCs w:val="0"/>
                <w:sz w:val="21"/>
                <w:szCs w:val="21"/>
                <w:vertAlign w:val="baseline"/>
                <w:lang w:val="en-US" w:eastAsia="zh-CN"/>
              </w:rPr>
              <w:t>2026-GDSY-NJL-10</w:t>
            </w:r>
          </w:p>
        </w:tc>
        <w:tc>
          <w:tcPr>
            <w:tcW w:w="1610" w:type="pct"/>
            <w:noWrap w:val="0"/>
            <w:vAlign w:val="top"/>
          </w:tcPr>
          <w:p w14:paraId="7F83B3AA">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 xml:space="preserve">“人文湾区”视域下孙中山文化的跨域认同机制构建 </w:t>
            </w:r>
          </w:p>
        </w:tc>
        <w:tc>
          <w:tcPr>
            <w:tcW w:w="657" w:type="pct"/>
            <w:noWrap w:val="0"/>
            <w:vAlign w:val="center"/>
          </w:tcPr>
          <w:p w14:paraId="4152E002">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王</w:t>
            </w:r>
            <w:r>
              <w:rPr>
                <w:rFonts w:hint="eastAsia" w:ascii="Times New Roman" w:hAnsi="Times New Roman" w:eastAsia="仿宋" w:cs="仿宋"/>
                <w:sz w:val="21"/>
                <w:szCs w:val="21"/>
                <w:lang w:val="en-US" w:eastAsia="zh-CN"/>
              </w:rPr>
              <w:t xml:space="preserve">  </w:t>
            </w:r>
            <w:r>
              <w:rPr>
                <w:rFonts w:hint="eastAsia" w:ascii="Times New Roman" w:hAnsi="Times New Roman" w:eastAsia="仿宋" w:cs="仿宋"/>
                <w:sz w:val="21"/>
                <w:szCs w:val="21"/>
              </w:rPr>
              <w:t>洁</w:t>
            </w:r>
          </w:p>
        </w:tc>
        <w:tc>
          <w:tcPr>
            <w:tcW w:w="755" w:type="pct"/>
            <w:noWrap w:val="0"/>
            <w:vAlign w:val="center"/>
          </w:tcPr>
          <w:p w14:paraId="4996008A">
            <w:pPr>
              <w:keepNext w:val="0"/>
              <w:keepLines w:val="0"/>
              <w:widowControl/>
              <w:suppressLineNumbers w:val="0"/>
              <w:jc w:val="center"/>
              <w:rPr>
                <w:rFonts w:hint="default"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rPr>
              <w:t>中山社院</w:t>
            </w:r>
          </w:p>
        </w:tc>
        <w:tc>
          <w:tcPr>
            <w:tcW w:w="808" w:type="pct"/>
            <w:noWrap w:val="0"/>
            <w:vAlign w:val="center"/>
          </w:tcPr>
          <w:p w14:paraId="079A344A">
            <w:pPr>
              <w:keepNext w:val="0"/>
              <w:keepLines w:val="0"/>
              <w:widowControl/>
              <w:suppressLineNumbers w:val="0"/>
              <w:jc w:val="center"/>
              <w:rPr>
                <w:rFonts w:hint="eastAsia" w:ascii="Times New Roman" w:hAnsi="Times New Roman" w:eastAsia="仿宋" w:cs="仿宋"/>
                <w:sz w:val="21"/>
                <w:szCs w:val="21"/>
                <w:vertAlign w:val="baseline"/>
                <w:lang w:val="en-US" w:eastAsia="zh-CN"/>
              </w:rPr>
            </w:pPr>
            <w:r>
              <w:rPr>
                <w:rFonts w:hint="eastAsia" w:ascii="Times New Roman" w:hAnsi="Times New Roman" w:eastAsia="仿宋" w:cs="仿宋"/>
                <w:sz w:val="21"/>
                <w:szCs w:val="21"/>
                <w:vertAlign w:val="baseline"/>
                <w:lang w:val="en-US" w:eastAsia="zh-CN"/>
              </w:rPr>
              <w:t>一般课题</w:t>
            </w:r>
          </w:p>
        </w:tc>
      </w:tr>
    </w:tbl>
    <w:p w14:paraId="315B2A94">
      <w:pPr>
        <w:rPr>
          <w:rFonts w:hint="eastAsia" w:ascii="Times New Roman" w:hAnsi="Times New Roman"/>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SimSun">
    <w:panose1 w:val="02010600030101010101"/>
    <w:charset w:val="86"/>
    <w:family w:val="auto"/>
    <w:pitch w:val="default"/>
    <w:sig w:usb0="00000003" w:usb1="288F0000" w:usb2="00000006" w:usb3="00000000" w:csb0="00040001" w:csb1="00000000"/>
  </w:font>
  <w:font w:name="FangSong_GB2312">
    <w:panose1 w:val="02010609030101010101"/>
    <w:charset w:val="86"/>
    <w:family w:val="auto"/>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AEF267C"/>
    <w:rsid w:val="69EFA33A"/>
    <w:rsid w:val="9AEF267C"/>
    <w:rsid w:val="FFE6F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eastAsia="zh-CN" w:bidi="zh-C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2026-07-22T11:58:00Z</dcterms:created>
  <dc:creator>cheng</dc:creator>
  <cp:lastModifiedBy>cheng</cp:lastModifiedBy>
  <dcterms:modified xsi:type="dcterms:W3CDTF">2026-07-22T12:03:59Z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8F1C60CC58F90F6DE73F606A6717A226_41</vt:lpwstr>
  </property>
</Properties>
</file>