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762" w14:textId="77777777" w:rsidR="00BC686E" w:rsidRDefault="00000000">
      <w:pPr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附件1</w:t>
      </w:r>
    </w:p>
    <w:p w14:paraId="2D1DA318" w14:textId="77777777" w:rsidR="00BC686E" w:rsidRDefault="00BC686E">
      <w:pPr>
        <w:pStyle w:val="a0"/>
      </w:pPr>
    </w:p>
    <w:p w14:paraId="6506970C" w14:textId="77777777" w:rsidR="00BC686E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2023年广东省社会主义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学院双课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建设课程指南</w:t>
      </w:r>
    </w:p>
    <w:p w14:paraId="48DDA490" w14:textId="77777777" w:rsidR="00BC686E" w:rsidRDefault="00BC686E">
      <w:pPr>
        <w:jc w:val="center"/>
        <w:rPr>
          <w:rFonts w:ascii="华文中宋" w:eastAsia="华文中宋" w:hAnsi="华文中宋"/>
          <w:sz w:val="44"/>
          <w:szCs w:val="44"/>
        </w:rPr>
      </w:pPr>
    </w:p>
    <w:p w14:paraId="79FF1627" w14:textId="77777777" w:rsidR="00BC686E" w:rsidRDefault="00000000">
      <w:pPr>
        <w:spacing w:line="520" w:lineRule="exact"/>
        <w:ind w:left="630" w:firstLineChars="200" w:firstLine="680"/>
        <w:rPr>
          <w:rFonts w:ascii="黑体" w:eastAsia="黑体" w:hAnsi="仿宋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一、精品</w:t>
      </w:r>
      <w:r>
        <w:rPr>
          <w:rFonts w:ascii="黑体" w:eastAsia="黑体" w:hAnsi="仿宋" w:hint="eastAsia"/>
          <w:sz w:val="34"/>
          <w:szCs w:val="34"/>
        </w:rPr>
        <w:t>课课程</w:t>
      </w:r>
    </w:p>
    <w:p w14:paraId="4A01E14F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1.学习贯彻党的二十大精神课程；</w:t>
      </w:r>
    </w:p>
    <w:p w14:paraId="452D7960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2.习近平新时代中国特色社会主义思想；</w:t>
      </w:r>
    </w:p>
    <w:p w14:paraId="7C96445E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3.习近平总书记关于做好新时代党的统一战线工作的重要思想；</w:t>
      </w:r>
    </w:p>
    <w:p w14:paraId="2BC9CAF4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4.习近平总书记关于加强和改进人民政协工作的重要思想；</w:t>
      </w:r>
    </w:p>
    <w:p w14:paraId="777BAF68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5.习近平总书记关于坚持和完善人民代表大会制度的重要思想；</w:t>
      </w:r>
    </w:p>
    <w:p w14:paraId="5F050E88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6</w:t>
      </w:r>
      <w:r>
        <w:rPr>
          <w:rFonts w:ascii="仿宋_GB2312" w:eastAsia="仿宋_GB2312" w:hAnsi="仿宋"/>
          <w:spacing w:val="6"/>
          <w:sz w:val="34"/>
          <w:szCs w:val="34"/>
          <w:lang w:val="en"/>
        </w:rPr>
        <w:t>.</w:t>
      </w:r>
      <w:r>
        <w:rPr>
          <w:rFonts w:ascii="仿宋_GB2312" w:eastAsia="仿宋_GB2312" w:hAnsi="仿宋" w:hint="eastAsia"/>
          <w:spacing w:val="6"/>
          <w:sz w:val="34"/>
          <w:szCs w:val="34"/>
        </w:rPr>
        <w:t>习近平总书记关于青年工作的重要思想；</w:t>
      </w:r>
    </w:p>
    <w:p w14:paraId="600B6B05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7.中国共产党和中华民族伟大复兴；</w:t>
      </w:r>
    </w:p>
    <w:p w14:paraId="31158312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8.新时代意识形态工作面临的形势与任务；</w:t>
      </w:r>
    </w:p>
    <w:p w14:paraId="215224BB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9.新时代统一战线基本理论；</w:t>
      </w:r>
    </w:p>
    <w:p w14:paraId="6757CF95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10.新型政党制度理论与实践；</w:t>
      </w:r>
    </w:p>
    <w:p w14:paraId="2EC36311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11.五史（中国共产党史、新中国史、改革开放史、社会主义发展史、中华民族史）；</w:t>
      </w:r>
    </w:p>
    <w:p w14:paraId="18BC5826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12.中国共产党统一战线史；</w:t>
      </w:r>
    </w:p>
    <w:p w14:paraId="0C8E5C89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13.中国共产党领导的多党合作和政治协商制度发展史；</w:t>
      </w:r>
    </w:p>
    <w:p w14:paraId="4C80A61F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14.中国各民主党派史；</w:t>
      </w:r>
    </w:p>
    <w:p w14:paraId="7E71CF7F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15.中西政党制度比较；</w:t>
      </w:r>
    </w:p>
    <w:p w14:paraId="6F322BFA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lastRenderedPageBreak/>
        <w:t>16.协商民主理论与实践；</w:t>
      </w:r>
    </w:p>
    <w:p w14:paraId="72CE04F0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17.网络强国与网络安全；</w:t>
      </w:r>
    </w:p>
    <w:p w14:paraId="64A05369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18.中华文化与文化自信；</w:t>
      </w:r>
    </w:p>
    <w:p w14:paraId="75ACD675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19.文化修养（文学艺术）；</w:t>
      </w:r>
    </w:p>
    <w:p w14:paraId="02AC3541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20.党外干部能力素质建设。</w:t>
      </w:r>
    </w:p>
    <w:p w14:paraId="23839DB6" w14:textId="77777777" w:rsidR="00BC686E" w:rsidRDefault="00000000">
      <w:pPr>
        <w:spacing w:line="520" w:lineRule="exact"/>
        <w:ind w:firstLineChars="200" w:firstLine="704"/>
        <w:rPr>
          <w:rFonts w:ascii="黑体" w:eastAsia="黑体" w:hAnsi="仿宋"/>
          <w:spacing w:val="6"/>
          <w:sz w:val="34"/>
          <w:szCs w:val="34"/>
        </w:rPr>
      </w:pPr>
      <w:r>
        <w:rPr>
          <w:rFonts w:ascii="黑体" w:eastAsia="黑体" w:hAnsi="黑体" w:hint="eastAsia"/>
          <w:spacing w:val="6"/>
          <w:sz w:val="34"/>
          <w:szCs w:val="34"/>
        </w:rPr>
        <w:t>二、特色课课程</w:t>
      </w:r>
    </w:p>
    <w:p w14:paraId="0B461136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1.广东对中国共产党统一战线的历史性贡献；</w:t>
      </w:r>
    </w:p>
    <w:p w14:paraId="1A0EF0AD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2.广东对多党合作的重要贡献；</w:t>
      </w:r>
    </w:p>
    <w:p w14:paraId="4A33EF32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3.广东统一战线人物与事件；</w:t>
      </w:r>
    </w:p>
    <w:p w14:paraId="456C1C8B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4.民主党派和无党派人士工作的广东实践；</w:t>
      </w:r>
    </w:p>
    <w:p w14:paraId="5F8FCFFE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5.党外知识分子工作的广东实践；</w:t>
      </w:r>
    </w:p>
    <w:p w14:paraId="2B2B38C3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6.非公有制</w:t>
      </w:r>
      <w:proofErr w:type="gramStart"/>
      <w:r>
        <w:rPr>
          <w:rFonts w:ascii="仿宋_GB2312" w:eastAsia="仿宋_GB2312" w:hAnsi="仿宋" w:hint="eastAsia"/>
          <w:spacing w:val="6"/>
          <w:sz w:val="34"/>
          <w:szCs w:val="34"/>
        </w:rPr>
        <w:t>经济人</w:t>
      </w:r>
      <w:proofErr w:type="gramEnd"/>
      <w:r>
        <w:rPr>
          <w:rFonts w:ascii="仿宋_GB2312" w:eastAsia="仿宋_GB2312" w:hAnsi="仿宋" w:hint="eastAsia"/>
          <w:spacing w:val="6"/>
          <w:sz w:val="34"/>
          <w:szCs w:val="34"/>
        </w:rPr>
        <w:t>士统战工作的广东实践；</w:t>
      </w:r>
    </w:p>
    <w:p w14:paraId="342D637D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7.新的社会阶层人士统战工作的广东实践；</w:t>
      </w:r>
    </w:p>
    <w:p w14:paraId="4C4E734C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8.城市化进程中的广东民族工作；</w:t>
      </w:r>
    </w:p>
    <w:p w14:paraId="78AA0FFC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9.新时代宗教中国化的广东实践与经验；</w:t>
      </w:r>
    </w:p>
    <w:p w14:paraId="2F342D89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10.港澳台统战工作形势分析；</w:t>
      </w:r>
    </w:p>
    <w:p w14:paraId="7FC3A553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11.海外统战工作和侨务工作的广东实践；</w:t>
      </w:r>
    </w:p>
    <w:p w14:paraId="0FAA6913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12.文化统战的作用及其在广东的实践；</w:t>
      </w:r>
    </w:p>
    <w:p w14:paraId="178DC490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13.岭南文化传承发展与统战价值；</w:t>
      </w:r>
    </w:p>
    <w:p w14:paraId="34BA86CE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14.广东基层统战工作的经验与创新；</w:t>
      </w:r>
    </w:p>
    <w:p w14:paraId="72D2530A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15.网络统战；</w:t>
      </w:r>
    </w:p>
    <w:p w14:paraId="09C8AE68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16.统一战线（民主党派和无党派人士、党外知识分子、非公有制</w:t>
      </w:r>
      <w:proofErr w:type="gramStart"/>
      <w:r>
        <w:rPr>
          <w:rFonts w:ascii="仿宋_GB2312" w:eastAsia="仿宋_GB2312" w:hAnsi="仿宋" w:hint="eastAsia"/>
          <w:spacing w:val="6"/>
          <w:sz w:val="34"/>
          <w:szCs w:val="34"/>
        </w:rPr>
        <w:t>经济人</w:t>
      </w:r>
      <w:proofErr w:type="gramEnd"/>
      <w:r>
        <w:rPr>
          <w:rFonts w:ascii="仿宋_GB2312" w:eastAsia="仿宋_GB2312" w:hAnsi="仿宋" w:hint="eastAsia"/>
          <w:spacing w:val="6"/>
          <w:sz w:val="34"/>
          <w:szCs w:val="34"/>
        </w:rPr>
        <w:t>士、新的社会阶层人士、民族、宗教、港澳台侨等）服务广东高质量发展；</w:t>
      </w:r>
    </w:p>
    <w:p w14:paraId="72D78459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17.统一战线服务“双区”建设、横琴前海南沙三大平台建设；</w:t>
      </w:r>
    </w:p>
    <w:p w14:paraId="50FD4FDB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lastRenderedPageBreak/>
        <w:t>18.统一战线在共同富裕中的作用发挥；</w:t>
      </w:r>
    </w:p>
    <w:p w14:paraId="20ED5269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19.统一战线服务中国式现代化建设广东路径的作用发挥；</w:t>
      </w:r>
    </w:p>
    <w:p w14:paraId="4B7F556B" w14:textId="77777777" w:rsidR="00BC686E" w:rsidRDefault="00000000">
      <w:pPr>
        <w:spacing w:line="520" w:lineRule="exact"/>
        <w:ind w:firstLineChars="200" w:firstLine="704"/>
        <w:rPr>
          <w:rFonts w:ascii="仿宋_GB2312" w:eastAsia="仿宋_GB2312" w:hAnsi="仿宋"/>
          <w:spacing w:val="6"/>
          <w:sz w:val="34"/>
          <w:szCs w:val="34"/>
        </w:rPr>
      </w:pPr>
      <w:r>
        <w:rPr>
          <w:rFonts w:ascii="仿宋_GB2312" w:eastAsia="仿宋_GB2312" w:hAnsi="仿宋" w:hint="eastAsia"/>
          <w:spacing w:val="6"/>
          <w:sz w:val="34"/>
          <w:szCs w:val="34"/>
        </w:rPr>
        <w:t>20.本地区适用于干部教育的文化资源开发利用的相关课程。</w:t>
      </w:r>
    </w:p>
    <w:p w14:paraId="6EFCCA73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72EFA326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6E52CEEE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79D9707A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25BCE771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5B079BE9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4DF52CE2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51C7C1E0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77659E2A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1071B1C3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74BD4D18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1D4387F5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42C38DC2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63221774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2DEA9E06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1CBD20B4" w14:textId="77777777" w:rsidR="00BC686E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p w14:paraId="1E9C48AC" w14:textId="77777777" w:rsidR="00BC686E" w:rsidRPr="00146F96" w:rsidRDefault="00BC686E">
      <w:pPr>
        <w:jc w:val="left"/>
        <w:rPr>
          <w:rFonts w:ascii="黑体" w:eastAsia="黑体" w:hAnsi="黑体" w:cs="黑体"/>
          <w:color w:val="000000"/>
          <w:spacing w:val="15"/>
          <w:kern w:val="0"/>
          <w:sz w:val="34"/>
          <w:szCs w:val="34"/>
        </w:rPr>
      </w:pPr>
    </w:p>
    <w:sectPr w:rsidR="00BC686E" w:rsidRPr="00146F96">
      <w:footerReference w:type="default" r:id="rId8"/>
      <w:pgSz w:w="11906" w:h="16838"/>
      <w:pgMar w:top="1587" w:right="1361" w:bottom="1361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0CF" w14:textId="77777777" w:rsidR="00926B6B" w:rsidRDefault="00926B6B">
      <w:r>
        <w:separator/>
      </w:r>
    </w:p>
  </w:endnote>
  <w:endnote w:type="continuationSeparator" w:id="0">
    <w:p w14:paraId="309A0579" w14:textId="77777777" w:rsidR="00926B6B" w:rsidRDefault="009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0697" w14:textId="77777777" w:rsidR="00BC686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DA156" wp14:editId="1B931E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07926" w14:textId="77777777" w:rsidR="00BC686E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DA15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6007926" w14:textId="77777777" w:rsidR="00BC686E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7D0A" w14:textId="77777777" w:rsidR="00926B6B" w:rsidRDefault="00926B6B">
      <w:r>
        <w:separator/>
      </w:r>
    </w:p>
  </w:footnote>
  <w:footnote w:type="continuationSeparator" w:id="0">
    <w:p w14:paraId="6DDFC18B" w14:textId="77777777" w:rsidR="00926B6B" w:rsidRDefault="0092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5275"/>
    <w:multiLevelType w:val="singleLevel"/>
    <w:tmpl w:val="5DE752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595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1NGI2ZWFhNTlmYmYyZDYwMmU1ZjEyYTQzNmRkODkifQ=="/>
  </w:docVars>
  <w:rsids>
    <w:rsidRoot w:val="3A7E75DA"/>
    <w:rsid w:val="00146F96"/>
    <w:rsid w:val="00805BF4"/>
    <w:rsid w:val="00926B6B"/>
    <w:rsid w:val="00BC686E"/>
    <w:rsid w:val="00BF153B"/>
    <w:rsid w:val="025438B5"/>
    <w:rsid w:val="02E035BE"/>
    <w:rsid w:val="04325530"/>
    <w:rsid w:val="06036CF6"/>
    <w:rsid w:val="08040A8D"/>
    <w:rsid w:val="09157FEC"/>
    <w:rsid w:val="0C922A21"/>
    <w:rsid w:val="0D4D093C"/>
    <w:rsid w:val="0D5F16A6"/>
    <w:rsid w:val="0DD35DC9"/>
    <w:rsid w:val="0E534DE0"/>
    <w:rsid w:val="10457533"/>
    <w:rsid w:val="10A95ADE"/>
    <w:rsid w:val="11B6730F"/>
    <w:rsid w:val="11C42E06"/>
    <w:rsid w:val="15085F53"/>
    <w:rsid w:val="15FD3E6E"/>
    <w:rsid w:val="160E75DF"/>
    <w:rsid w:val="161D7774"/>
    <w:rsid w:val="16367F51"/>
    <w:rsid w:val="167575DE"/>
    <w:rsid w:val="17B576D9"/>
    <w:rsid w:val="180D7982"/>
    <w:rsid w:val="18192B48"/>
    <w:rsid w:val="20515900"/>
    <w:rsid w:val="21115794"/>
    <w:rsid w:val="22280ABD"/>
    <w:rsid w:val="23AB35ED"/>
    <w:rsid w:val="25FC2857"/>
    <w:rsid w:val="26A07E99"/>
    <w:rsid w:val="27A67400"/>
    <w:rsid w:val="2AEB02B3"/>
    <w:rsid w:val="2B272542"/>
    <w:rsid w:val="2B601568"/>
    <w:rsid w:val="2D096C69"/>
    <w:rsid w:val="2E8C60F8"/>
    <w:rsid w:val="2F3B21AE"/>
    <w:rsid w:val="3180564D"/>
    <w:rsid w:val="318209DA"/>
    <w:rsid w:val="334D7C20"/>
    <w:rsid w:val="3A052006"/>
    <w:rsid w:val="3A6128A5"/>
    <w:rsid w:val="3A7826AC"/>
    <w:rsid w:val="3A7E75DA"/>
    <w:rsid w:val="3A8B282B"/>
    <w:rsid w:val="3B3C1B22"/>
    <w:rsid w:val="3B822B94"/>
    <w:rsid w:val="3B855AC6"/>
    <w:rsid w:val="3BA46C26"/>
    <w:rsid w:val="3E6E4E6F"/>
    <w:rsid w:val="415F3972"/>
    <w:rsid w:val="41861DE9"/>
    <w:rsid w:val="419E2A4E"/>
    <w:rsid w:val="4269060A"/>
    <w:rsid w:val="42876448"/>
    <w:rsid w:val="446E12C2"/>
    <w:rsid w:val="44D23AE5"/>
    <w:rsid w:val="45B137DC"/>
    <w:rsid w:val="4690453B"/>
    <w:rsid w:val="480E2E2C"/>
    <w:rsid w:val="48833029"/>
    <w:rsid w:val="49372A29"/>
    <w:rsid w:val="4C404776"/>
    <w:rsid w:val="4C5271F5"/>
    <w:rsid w:val="4D4D5716"/>
    <w:rsid w:val="4E6C13BA"/>
    <w:rsid w:val="4F92019C"/>
    <w:rsid w:val="4FD9470F"/>
    <w:rsid w:val="507574FE"/>
    <w:rsid w:val="510229EC"/>
    <w:rsid w:val="511A58F1"/>
    <w:rsid w:val="51DB48D1"/>
    <w:rsid w:val="534B641A"/>
    <w:rsid w:val="578B0701"/>
    <w:rsid w:val="58D7043C"/>
    <w:rsid w:val="5CA33760"/>
    <w:rsid w:val="5D8B20EB"/>
    <w:rsid w:val="5D91614D"/>
    <w:rsid w:val="5E147892"/>
    <w:rsid w:val="5E642844"/>
    <w:rsid w:val="601C59C3"/>
    <w:rsid w:val="602E17FE"/>
    <w:rsid w:val="60422D09"/>
    <w:rsid w:val="61285377"/>
    <w:rsid w:val="6306680E"/>
    <w:rsid w:val="63071A4D"/>
    <w:rsid w:val="63A96C66"/>
    <w:rsid w:val="643D690A"/>
    <w:rsid w:val="64F22265"/>
    <w:rsid w:val="677A394A"/>
    <w:rsid w:val="67C4251A"/>
    <w:rsid w:val="689F55F8"/>
    <w:rsid w:val="6917742B"/>
    <w:rsid w:val="69EC5F0D"/>
    <w:rsid w:val="6B2771FF"/>
    <w:rsid w:val="6C0E2FF1"/>
    <w:rsid w:val="6CE34B30"/>
    <w:rsid w:val="6D4D2752"/>
    <w:rsid w:val="705B4B70"/>
    <w:rsid w:val="71704FE9"/>
    <w:rsid w:val="725E1E19"/>
    <w:rsid w:val="74F636CF"/>
    <w:rsid w:val="75047DFE"/>
    <w:rsid w:val="780C7119"/>
    <w:rsid w:val="7840471B"/>
    <w:rsid w:val="78456033"/>
    <w:rsid w:val="79967987"/>
    <w:rsid w:val="7B160627"/>
    <w:rsid w:val="7C0655E3"/>
    <w:rsid w:val="7C2833B0"/>
    <w:rsid w:val="7D190E10"/>
    <w:rsid w:val="7E4B1AE2"/>
    <w:rsid w:val="7FC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FDD1B"/>
  <w15:docId w15:val="{782618AB-8DE2-407E-968F-4080184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ascii="Times New Roman" w:hAnsi="Times New Roman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rPr>
      <w:color w:val="0000FF"/>
      <w:u w:val="single"/>
    </w:rPr>
  </w:style>
  <w:style w:type="paragraph" w:customStyle="1" w:styleId="ab">
    <w:name w:val="大标题"/>
    <w:basedOn w:val="1"/>
    <w:next w:val="a"/>
    <w:qFormat/>
    <w:pPr>
      <w:jc w:val="center"/>
    </w:pPr>
    <w:rPr>
      <w:rFonts w:ascii="方正大标宋简体" w:eastAsia="华文中宋" w:hAnsi="方正大标宋简体" w:cs="仿宋"/>
      <w:szCs w:val="44"/>
    </w:rPr>
  </w:style>
  <w:style w:type="paragraph" w:customStyle="1" w:styleId="ac">
    <w:name w:val="正文仿宋专用"/>
    <w:basedOn w:val="a"/>
    <w:qFormat/>
    <w:pPr>
      <w:spacing w:line="620" w:lineRule="exact"/>
    </w:pPr>
    <w:rPr>
      <w:rFonts w:ascii="仿宋" w:eastAsia="仿宋" w:hAnsi="仿宋" w:cs="仿宋"/>
      <w:sz w:val="34"/>
      <w:szCs w:val="34"/>
    </w:rPr>
  </w:style>
  <w:style w:type="paragraph" w:customStyle="1" w:styleId="ad">
    <w:name w:val="一级黑体标题专用"/>
    <w:basedOn w:val="ac"/>
    <w:qFormat/>
    <w:rPr>
      <w:rFonts w:eastAsia="黑体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\&#27169;&#29256;\&#31908;&#31038;&#21457;22-26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粤社发22-26.wpt</Template>
  <TotalTime>2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Kelii</dc:creator>
  <cp:lastModifiedBy>jie</cp:lastModifiedBy>
  <cp:revision>2</cp:revision>
  <cp:lastPrinted>2023-03-14T06:44:00Z</cp:lastPrinted>
  <dcterms:created xsi:type="dcterms:W3CDTF">2020-02-25T05:19:00Z</dcterms:created>
  <dcterms:modified xsi:type="dcterms:W3CDTF">2023-03-23T06:58:00Z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B4695A3D436F46FF97F9A09664A3DA3F</vt:lpwstr>
  </property>
</Properties>
</file>